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92"/>
        <w:numPr>
          <w:ilvl w:val="0"/>
          <w:numId w:val="45"/>
        </w:numPr>
        <w:rPr>
          <w:b/>
          <w:sz w:val="28"/>
          <w:szCs w:val="28"/>
        </w:rPr>
      </w:pPr>
      <w:r>
        <w:rPr>
          <w:color w:val="383a42"/>
          <w:sz w:val="27"/>
          <w:szCs w:val="27"/>
          <w:shd w:val="clear" w:color="auto" w:fill="fbfcfc"/>
        </w:rPr>
        <w:t xml:space="preserve">При заключении государственных контрактов и договоров для выполнения государственного задания, в том числе при перечислении средств по обеспечению исполнения контрактов, необходимо указывать следующие реквизиты: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9493" w:type="dxa"/>
        <w:tblLayout w:type="fixed"/>
        <w:tblLook w:val="0000" w:firstRow="0" w:lastRow="0" w:firstColumn="0" w:lastColumn="0" w:noHBand="0" w:noVBand="0"/>
      </w:tblPr>
      <w:tblGrid>
        <w:gridCol w:w="9493"/>
      </w:tblGrid>
      <w:tr>
        <w:tblPrEx/>
        <w:trPr>
          <w:trHeight w:val="7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  <w:p>
            <w:pPr>
              <w:ind w:firstLine="34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ГОСУДАРСТВЕННОЕ БЮДЖЕТНОЕ УЧРЕЖДЕНИЕ МОСКОВСКОЙ ОБЛАСТИ "МОСАВТОДОР"</w:t>
            </w:r>
            <w:r>
              <w:rPr>
                <w:bCs/>
                <w:lang w:eastAsia="en-US"/>
              </w:rPr>
            </w:r>
          </w:p>
        </w:tc>
      </w:tr>
      <w:tr>
        <w:tblPrEx/>
        <w:trPr>
          <w:trHeight w:val="39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Сокращенное наименование: </w:t>
            </w:r>
            <w:r>
              <w:rPr>
                <w:lang w:eastAsia="en-US"/>
              </w:rPr>
              <w:t xml:space="preserve">ГБУ МО "МОСАВТОДОР"</w:t>
            </w:r>
            <w:r>
              <w:rPr>
                <w:bCs/>
                <w:lang w:eastAsia="en-US"/>
              </w:rPr>
            </w:r>
          </w:p>
        </w:tc>
      </w:tr>
      <w:tr>
        <w:tblPrEx/>
        <w:trPr>
          <w:trHeight w:val="165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Почтовый адрес: Российская Федерация, 143421, Московская </w:t>
            </w:r>
            <w:r>
              <w:rPr>
                <w:lang w:eastAsia="en-US"/>
              </w:rPr>
              <w:t xml:space="preserve">обл</w:t>
            </w:r>
            <w:r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г.о</w:t>
            </w:r>
            <w:r>
              <w:rPr>
                <w:lang w:eastAsia="en-US"/>
              </w:rPr>
              <w:t xml:space="preserve">. Красногорск, тер. Автодорога Балтия, д.5, стр.2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Место нахождения, адрес: Российская Федерация,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143421, Московская </w:t>
            </w:r>
            <w:r>
              <w:rPr>
                <w:lang w:eastAsia="en-US"/>
              </w:rPr>
              <w:t xml:space="preserve">обл</w:t>
            </w:r>
            <w:r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г.о</w:t>
            </w:r>
            <w:r>
              <w:rPr>
                <w:lang w:eastAsia="en-US"/>
              </w:rPr>
              <w:t xml:space="preserve">. Красногорск, тер. Автодорога Балтия, д.5, стр.2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ИНН</w:t>
            </w:r>
            <w:r>
              <w:rPr>
                <w:lang w:eastAsia="en-US"/>
              </w:rPr>
              <w:t xml:space="preserve"> 5000001525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rFonts w:cstheme="minorHAnsi"/>
              </w:rPr>
            </w:pPr>
            <w:r>
              <w:rPr>
                <w:lang w:eastAsia="en-US"/>
              </w:rPr>
              <w:t xml:space="preserve">КПП</w:t>
            </w:r>
            <w:r>
              <w:rPr>
                <w:lang w:eastAsia="en-US"/>
              </w:rPr>
              <w:t xml:space="preserve"> 502401001</w:t>
            </w:r>
            <w:r>
              <w:rPr>
                <w:rFonts w:cstheme="minorHAnsi"/>
              </w:rPr>
            </w:r>
          </w:p>
          <w:p>
            <w:pPr>
              <w:ind w:firstLine="34"/>
              <w:rPr>
                <w:rFonts w:cstheme="minorHAnsi"/>
              </w:rPr>
            </w:pPr>
            <w:r>
              <w:rPr>
                <w:rFonts w:cstheme="minorHAnsi"/>
              </w:rPr>
              <w:t xml:space="preserve">ОГРН</w:t>
            </w:r>
            <w:r>
              <w:rPr>
                <w:rFonts w:cstheme="minorHAnsi"/>
              </w:rPr>
              <w:t xml:space="preserve"> 1025002879626</w:t>
            </w:r>
            <w:r>
              <w:rPr>
                <w:rFonts w:cstheme="minorHAnsi"/>
              </w:rPr>
            </w:r>
          </w:p>
        </w:tc>
      </w:tr>
      <w:tr>
        <w:tblPrEx/>
        <w:trPr>
          <w:trHeight w:val="2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Банковские реквизиты: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61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rFonts w:cstheme="minorHAnsi"/>
                <w:shd w:val="clear" w:color="auto" w:fill="ffffff"/>
              </w:rPr>
              <w:t xml:space="preserve">МЭФ Московской области </w:t>
            </w:r>
            <w:r>
              <w:rPr>
                <w:rFonts w:cstheme="minorHAnsi"/>
                <w:shd w:val="clear" w:color="auto" w:fill="ffffff"/>
              </w:rPr>
              <w:t xml:space="preserve">(</w:t>
            </w:r>
            <w:r>
              <w:rPr>
                <w:rFonts w:cstheme="minorHAnsi"/>
                <w:shd w:val="clear" w:color="auto" w:fill="ffffff"/>
              </w:rPr>
              <w:t xml:space="preserve">л/</w:t>
            </w:r>
            <w:r>
              <w:rPr>
                <w:rFonts w:cstheme="minorHAnsi"/>
                <w:shd w:val="clear" w:color="auto" w:fill="ffffff"/>
              </w:rPr>
              <w:t xml:space="preserve">с  20</w:t>
            </w:r>
            <w:r>
              <w:rPr>
                <w:rFonts w:cstheme="minorHAnsi"/>
                <w:shd w:val="clear" w:color="auto" w:fill="ffffff"/>
              </w:rPr>
              <w:t xml:space="preserve">851209130</w:t>
            </w:r>
            <w:r>
              <w:rPr>
                <w:rFonts w:cstheme="minorHAnsi"/>
                <w:shd w:val="clear" w:color="auto" w:fill="ffffff"/>
              </w:rPr>
              <w:t xml:space="preserve">  </w:t>
            </w:r>
            <w:r>
              <w:rPr>
                <w:lang w:eastAsia="en-US"/>
              </w:rPr>
              <w:t xml:space="preserve">ГБУ МО "МОСАВТОДОР"</w:t>
            </w:r>
            <w:r>
              <w:rPr>
                <w:rFonts w:cstheme="minorHAnsi"/>
                <w:shd w:val="clear" w:color="auto" w:fill="ffffff"/>
              </w:rPr>
              <w:t xml:space="preserve">)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61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Банк: </w:t>
            </w:r>
            <w:r>
              <w:rPr>
                <w:lang w:eastAsia="en-US"/>
              </w:rPr>
              <w:t xml:space="preserve">ОКЦ № 1 ГУ Банка России по ЦФО//УФК ПО МОСКОВСКОЙ ОБЛАСТИ г Москва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БИК 004525987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rFonts w:cstheme="minorHAnsi"/>
                <w:shd w:val="clear" w:color="auto" w:fill="ffffff"/>
              </w:rPr>
            </w:pPr>
            <w:r>
              <w:rPr>
                <w:lang w:eastAsia="en-US"/>
              </w:rPr>
              <w:t xml:space="preserve">казн</w:t>
            </w:r>
            <w:r>
              <w:rPr>
                <w:lang w:eastAsia="en-US"/>
              </w:rPr>
              <w:t xml:space="preserve">/</w:t>
            </w:r>
            <w:r>
              <w:rPr>
                <w:lang w:eastAsia="en-US"/>
              </w:rPr>
              <w:t xml:space="preserve">сч</w:t>
            </w:r>
            <w:r>
              <w:rPr>
                <w:lang w:eastAsia="en-US"/>
              </w:rPr>
              <w:t xml:space="preserve"> 03224643460000004800</w:t>
            </w:r>
            <w:r>
              <w:rPr>
                <w:rFonts w:cstheme="minorHAnsi"/>
                <w:shd w:val="clear" w:color="auto" w:fill="ffffff"/>
              </w:rPr>
            </w:r>
          </w:p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единый </w:t>
            </w:r>
            <w:r>
              <w:rPr>
                <w:lang w:eastAsia="en-US"/>
              </w:rPr>
              <w:t xml:space="preserve">казн</w:t>
            </w:r>
            <w:r>
              <w:rPr>
                <w:lang w:eastAsia="en-US"/>
              </w:rPr>
              <w:t xml:space="preserve">/</w:t>
            </w:r>
            <w:r>
              <w:rPr>
                <w:lang w:eastAsia="en-US"/>
              </w:rPr>
              <w:t xml:space="preserve">сч</w:t>
            </w:r>
            <w:r>
              <w:rPr>
                <w:lang w:eastAsia="en-US"/>
              </w:rPr>
              <w:t xml:space="preserve"> 40102810845370000004</w:t>
            </w:r>
            <w:r>
              <w:rPr>
                <w:lang w:eastAsia="en-US"/>
              </w:rPr>
            </w:r>
          </w:p>
          <w:p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ОКТМО</w:t>
            </w:r>
            <w:r>
              <w:rPr>
                <w:lang w:eastAsia="en-US"/>
              </w:rPr>
              <w:t xml:space="preserve"> 46744000</w:t>
            </w:r>
            <w:r>
              <w:rPr>
                <w:lang w:eastAsia="en-US"/>
              </w:rPr>
            </w:r>
          </w:p>
          <w:p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p>
      <w:pPr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color w:val="383a42"/>
          <w:sz w:val="28"/>
          <w:szCs w:val="28"/>
          <w:shd w:val="clear" w:color="auto" w:fill="fbfcfc"/>
        </w:rPr>
        <w:t xml:space="preserve">2. </w:t>
      </w:r>
      <w:r>
        <w:rPr>
          <w:color w:val="383a42"/>
          <w:sz w:val="28"/>
          <w:szCs w:val="28"/>
          <w:shd w:val="clear" w:color="auto" w:fill="fbfcfc"/>
        </w:rPr>
        <w:t xml:space="preserve">При </w:t>
      </w:r>
      <w:r>
        <w:rPr>
          <w:color w:val="383a42"/>
          <w:sz w:val="28"/>
          <w:szCs w:val="28"/>
          <w:shd w:val="clear" w:color="auto" w:fill="fbfcfc"/>
        </w:rPr>
        <w:t xml:space="preserve">заключении государственных контрактов и договоров для выполнения работ в целях ведения иной деятельности Учреждения, не связанной с исполнением государственного задания, в рамках выделенных средств целевой субсидии необходимо указывать следующие реквизиты: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493" w:type="dxa"/>
        <w:tblLayout w:type="fixed"/>
        <w:tblLook w:val="0000" w:firstRow="0" w:lastRow="0" w:firstColumn="0" w:lastColumn="0" w:noHBand="0" w:noVBand="0"/>
      </w:tblPr>
      <w:tblGrid>
        <w:gridCol w:w="9493"/>
      </w:tblGrid>
      <w:tr>
        <w:tblPrEx/>
        <w:trPr>
          <w:trHeight w:val="7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  <w:p>
            <w:pPr>
              <w:ind w:firstLine="34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ГОСУДАРСТВЕННОЕ БЮДЖЕТНОЕ УЧРЕЖДЕНИЕ МОСКОВСКОЙ ОБЛАСТИ "МОСАВТОДОР"</w:t>
            </w:r>
            <w:r>
              <w:rPr>
                <w:bCs/>
                <w:lang w:eastAsia="en-US"/>
              </w:rPr>
            </w:r>
          </w:p>
        </w:tc>
      </w:tr>
      <w:tr>
        <w:tblPrEx/>
        <w:trPr>
          <w:trHeight w:val="39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Сокращенное наименование: </w:t>
            </w:r>
            <w:r>
              <w:rPr>
                <w:lang w:eastAsia="en-US"/>
              </w:rPr>
              <w:t xml:space="preserve">ГБУ МО "МОСАВТОДОР"</w:t>
            </w:r>
            <w:r>
              <w:rPr>
                <w:bCs/>
                <w:lang w:eastAsia="en-US"/>
              </w:rPr>
            </w:r>
          </w:p>
        </w:tc>
      </w:tr>
      <w:tr>
        <w:tblPrEx/>
        <w:trPr>
          <w:trHeight w:val="165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Почтовый адрес: Российская Федерация, 143421, Московская </w:t>
            </w:r>
            <w:r>
              <w:rPr>
                <w:lang w:eastAsia="en-US"/>
              </w:rPr>
              <w:t xml:space="preserve">обл</w:t>
            </w:r>
            <w:r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г.о</w:t>
            </w:r>
            <w:r>
              <w:rPr>
                <w:lang w:eastAsia="en-US"/>
              </w:rPr>
              <w:t xml:space="preserve">. Красногорск, тер. Автодорога Балтия, д.5, стр.2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Место нахождения, адрес: Российская Федерация, 143421, Московская </w:t>
            </w:r>
            <w:r>
              <w:rPr>
                <w:lang w:eastAsia="en-US"/>
              </w:rPr>
              <w:t xml:space="preserve">обл</w:t>
            </w:r>
            <w:r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г.о</w:t>
            </w:r>
            <w:r>
              <w:rPr>
                <w:lang w:eastAsia="en-US"/>
              </w:rPr>
              <w:t xml:space="preserve">. Красногорск, тер. Автодорога Балтия, д.5, стр.2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ИНН</w:t>
            </w:r>
            <w:r>
              <w:rPr>
                <w:lang w:eastAsia="en-US"/>
              </w:rPr>
              <w:t xml:space="preserve"> 5000001525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rFonts w:cstheme="minorHAnsi"/>
              </w:rPr>
            </w:pPr>
            <w:r>
              <w:rPr>
                <w:lang w:eastAsia="en-US"/>
              </w:rPr>
              <w:t xml:space="preserve">КПП</w:t>
            </w:r>
            <w:r>
              <w:rPr>
                <w:lang w:eastAsia="en-US"/>
              </w:rPr>
              <w:t xml:space="preserve"> 502401001</w:t>
            </w:r>
            <w:r>
              <w:rPr>
                <w:rFonts w:cstheme="minorHAnsi"/>
              </w:rPr>
            </w:r>
          </w:p>
          <w:p>
            <w:pPr>
              <w:ind w:firstLine="34"/>
              <w:rPr>
                <w:rFonts w:cstheme="minorHAnsi"/>
              </w:rPr>
            </w:pPr>
            <w:r>
              <w:rPr>
                <w:rFonts w:cstheme="minorHAnsi"/>
              </w:rPr>
              <w:t xml:space="preserve">ОГРН</w:t>
            </w:r>
            <w:r>
              <w:rPr>
                <w:rFonts w:cstheme="minorHAnsi"/>
              </w:rPr>
              <w:t xml:space="preserve"> 1025002879626</w:t>
            </w:r>
            <w:r>
              <w:rPr>
                <w:rFonts w:cstheme="minorHAnsi"/>
              </w:rPr>
            </w:r>
          </w:p>
        </w:tc>
      </w:tr>
      <w:tr>
        <w:tblPrEx/>
        <w:trPr>
          <w:trHeight w:val="2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Банковские реквизиты: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61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rFonts w:cstheme="minorHAnsi"/>
                <w:shd w:val="clear" w:color="auto" w:fill="ffffff"/>
              </w:rPr>
              <w:t xml:space="preserve">МЭФ Московской области (</w:t>
            </w:r>
            <w:r>
              <w:rPr>
                <w:rFonts w:cstheme="minorHAnsi"/>
                <w:shd w:val="clear" w:color="auto" w:fill="ffffff"/>
              </w:rPr>
              <w:t xml:space="preserve">л/</w:t>
            </w:r>
            <w:r>
              <w:rPr>
                <w:rFonts w:cstheme="minorHAnsi"/>
                <w:shd w:val="clear" w:color="auto" w:fill="ffffff"/>
              </w:rPr>
              <w:t xml:space="preserve">с  21</w:t>
            </w:r>
            <w:r>
              <w:rPr>
                <w:rFonts w:cstheme="minorHAnsi"/>
                <w:shd w:val="clear" w:color="auto" w:fill="ffffff"/>
              </w:rPr>
              <w:t xml:space="preserve">851209130</w:t>
            </w:r>
            <w:r>
              <w:rPr>
                <w:rFonts w:cstheme="minorHAnsi"/>
                <w:shd w:val="clear" w:color="auto" w:fill="ffffff"/>
              </w:rPr>
              <w:t xml:space="preserve">  </w:t>
            </w:r>
            <w:r>
              <w:rPr>
                <w:lang w:eastAsia="en-US"/>
              </w:rPr>
              <w:t xml:space="preserve">ГБУ МО "МОСАВТОДОР"</w:t>
            </w:r>
            <w:r>
              <w:rPr>
                <w:rFonts w:cstheme="minorHAnsi"/>
                <w:shd w:val="clear" w:color="auto" w:fill="ffffff"/>
              </w:rPr>
              <w:t xml:space="preserve">)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61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Банк: </w:t>
            </w:r>
            <w:r>
              <w:rPr>
                <w:lang w:eastAsia="en-US"/>
              </w:rPr>
              <w:t xml:space="preserve">ОКЦ № 1 ГУ Банка России по ЦФО//УФК ПО МОСКОВСКОЙ ОБЛАСТИ г Москва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БИК 004525987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rFonts w:cstheme="minorHAnsi"/>
                <w:shd w:val="clear" w:color="auto" w:fill="ffffff"/>
              </w:rPr>
            </w:pPr>
            <w:r>
              <w:rPr>
                <w:lang w:eastAsia="en-US"/>
              </w:rPr>
              <w:t xml:space="preserve">казн</w:t>
            </w:r>
            <w:r>
              <w:rPr>
                <w:lang w:eastAsia="en-US"/>
              </w:rPr>
              <w:t xml:space="preserve">/</w:t>
            </w:r>
            <w:r>
              <w:rPr>
                <w:lang w:eastAsia="en-US"/>
              </w:rPr>
              <w:t xml:space="preserve">сч</w:t>
            </w:r>
            <w:r>
              <w:rPr>
                <w:lang w:eastAsia="en-US"/>
              </w:rPr>
              <w:t xml:space="preserve"> 03224643460000004800</w:t>
            </w:r>
            <w:r>
              <w:rPr>
                <w:rFonts w:cstheme="minorHAnsi"/>
                <w:shd w:val="clear" w:color="auto" w:fill="ffffff"/>
              </w:rPr>
            </w:r>
          </w:p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единый </w:t>
            </w:r>
            <w:r>
              <w:rPr>
                <w:lang w:eastAsia="en-US"/>
              </w:rPr>
              <w:t xml:space="preserve">казн</w:t>
            </w:r>
            <w:r>
              <w:rPr>
                <w:lang w:eastAsia="en-US"/>
              </w:rPr>
              <w:t xml:space="preserve">/</w:t>
            </w:r>
            <w:r>
              <w:rPr>
                <w:lang w:eastAsia="en-US"/>
              </w:rPr>
              <w:t xml:space="preserve">сч</w:t>
            </w:r>
            <w:r>
              <w:rPr>
                <w:lang w:eastAsia="en-US"/>
              </w:rPr>
              <w:t xml:space="preserve"> 40102810845370000004</w:t>
            </w:r>
            <w:r>
              <w:rPr>
                <w:lang w:eastAsia="en-US"/>
              </w:rPr>
            </w:r>
          </w:p>
          <w:p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ОКТМО</w:t>
            </w:r>
            <w:r>
              <w:rPr>
                <w:lang w:eastAsia="en-US"/>
              </w:rPr>
              <w:t xml:space="preserve"> 46744000</w:t>
            </w:r>
            <w:r>
              <w:rPr>
                <w:lang w:eastAsia="en-US"/>
              </w:rPr>
            </w:r>
          </w:p>
          <w:p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2"/>
        <w:numPr>
          <w:ilvl w:val="0"/>
          <w:numId w:val="45"/>
        </w:numPr>
        <w:rPr>
          <w:sz w:val="28"/>
          <w:szCs w:val="28"/>
        </w:rPr>
      </w:pPr>
      <w:r/>
      <w:bookmarkStart w:id="0" w:name="_GoBack"/>
      <w:r/>
      <w:bookmarkEnd w:id="0"/>
      <w:r>
        <w:rPr>
          <w:color w:val="383a42"/>
          <w:sz w:val="28"/>
          <w:szCs w:val="28"/>
          <w:shd w:val="clear" w:color="auto" w:fill="fbfcfc"/>
        </w:rPr>
        <w:t xml:space="preserve">Для перечисления денежных средств в виде штрафных санкций, выплат по банковским гарантиям за нарушение условий контрактов (договоров) необходимо указывать следующие реквизиты: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493" w:type="dxa"/>
        <w:tblLayout w:type="fixed"/>
        <w:tblLook w:val="0000" w:firstRow="0" w:lastRow="0" w:firstColumn="0" w:lastColumn="0" w:noHBand="0" w:noVBand="0"/>
      </w:tblPr>
      <w:tblGrid>
        <w:gridCol w:w="9493"/>
      </w:tblGrid>
      <w:tr>
        <w:tblPrEx/>
        <w:trPr>
          <w:trHeight w:val="7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  <w:p>
            <w:pPr>
              <w:ind w:firstLine="34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ГОСУДАРСТВЕННОЕ БЮДЖЕТНОЕ УЧРЕЖДЕНИЕ МОСКОВСКОЙ ОБЛАСТИ "МОСАВТОДОР"</w:t>
            </w:r>
            <w:r>
              <w:rPr>
                <w:bCs/>
                <w:lang w:eastAsia="en-US"/>
              </w:rPr>
            </w:r>
          </w:p>
        </w:tc>
      </w:tr>
      <w:tr>
        <w:tblPrEx/>
        <w:trPr>
          <w:trHeight w:val="39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Сокращенное наименование: </w:t>
            </w:r>
            <w:r>
              <w:rPr>
                <w:lang w:eastAsia="en-US"/>
              </w:rPr>
              <w:t xml:space="preserve">ГБУ МО "МОСАВТОДОР"</w:t>
            </w:r>
            <w:r>
              <w:rPr>
                <w:bCs/>
                <w:lang w:eastAsia="en-US"/>
              </w:rPr>
            </w:r>
          </w:p>
        </w:tc>
      </w:tr>
      <w:tr>
        <w:tblPrEx/>
        <w:trPr>
          <w:trHeight w:val="165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Почтовый адрес: Российская Федерация, 143421, Московская </w:t>
            </w:r>
            <w:r>
              <w:rPr>
                <w:lang w:eastAsia="en-US"/>
              </w:rPr>
              <w:t xml:space="preserve">обл</w:t>
            </w:r>
            <w:r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г.о</w:t>
            </w:r>
            <w:r>
              <w:rPr>
                <w:lang w:eastAsia="en-US"/>
              </w:rPr>
              <w:t xml:space="preserve">. Красногорск, тер. Автодорога Балтия, д.5, стр.2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Место нахождения, адрес: Российская Федерация, 143421, Московская </w:t>
            </w:r>
            <w:r>
              <w:rPr>
                <w:lang w:eastAsia="en-US"/>
              </w:rPr>
              <w:t xml:space="preserve">обл</w:t>
            </w:r>
            <w:r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г.о</w:t>
            </w:r>
            <w:r>
              <w:rPr>
                <w:lang w:eastAsia="en-US"/>
              </w:rPr>
              <w:t xml:space="preserve">. Красногорск, тер. Автодорога Балтия, д.5, стр.2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ИНН</w:t>
            </w:r>
            <w:r>
              <w:rPr>
                <w:lang w:eastAsia="en-US"/>
              </w:rPr>
              <w:t xml:space="preserve"> 5000001525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rFonts w:cstheme="minorHAnsi"/>
              </w:rPr>
            </w:pPr>
            <w:r>
              <w:rPr>
                <w:lang w:eastAsia="en-US"/>
              </w:rPr>
              <w:t xml:space="preserve">КПП</w:t>
            </w:r>
            <w:r>
              <w:rPr>
                <w:lang w:eastAsia="en-US"/>
              </w:rPr>
              <w:t xml:space="preserve"> 502401001</w:t>
            </w:r>
            <w:r>
              <w:rPr>
                <w:rFonts w:cstheme="minorHAnsi"/>
              </w:rPr>
            </w:r>
          </w:p>
          <w:p>
            <w:pPr>
              <w:ind w:firstLine="34"/>
              <w:rPr>
                <w:rFonts w:cstheme="minorHAnsi"/>
              </w:rPr>
            </w:pPr>
            <w:r>
              <w:rPr>
                <w:rFonts w:cstheme="minorHAnsi"/>
              </w:rPr>
              <w:t xml:space="preserve">ОГРН</w:t>
            </w:r>
            <w:r>
              <w:rPr>
                <w:rFonts w:cstheme="minorHAnsi"/>
              </w:rPr>
              <w:t xml:space="preserve"> 1025002879626</w:t>
            </w:r>
            <w:r>
              <w:rPr>
                <w:rFonts w:cstheme="minorHAnsi"/>
              </w:rPr>
            </w:r>
          </w:p>
        </w:tc>
      </w:tr>
      <w:tr>
        <w:tblPrEx/>
        <w:trPr>
          <w:trHeight w:val="2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Банковские реквизиты: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61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rFonts w:cstheme="minorHAnsi"/>
                <w:shd w:val="clear" w:color="auto" w:fill="ffffff"/>
              </w:rPr>
              <w:t xml:space="preserve">МЭФ Московской области (л/</w:t>
            </w:r>
            <w:r>
              <w:rPr>
                <w:rFonts w:cstheme="minorHAnsi"/>
                <w:shd w:val="clear" w:color="auto" w:fill="ffffff"/>
              </w:rPr>
              <w:t xml:space="preserve">с  20851209130</w:t>
            </w:r>
            <w:r>
              <w:rPr>
                <w:rFonts w:cstheme="minorHAnsi"/>
                <w:shd w:val="clear" w:color="auto" w:fill="ffffff"/>
              </w:rPr>
              <w:t xml:space="preserve">  </w:t>
            </w:r>
            <w:r>
              <w:rPr>
                <w:lang w:eastAsia="en-US"/>
              </w:rPr>
              <w:t xml:space="preserve">ГБУ МО "МОСАВТОДОР"</w:t>
            </w:r>
            <w:r>
              <w:rPr>
                <w:rFonts w:cstheme="minorHAnsi"/>
                <w:shd w:val="clear" w:color="auto" w:fill="ffffff"/>
              </w:rPr>
              <w:t xml:space="preserve">)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61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3" w:type="dxa"/>
            <w:textDirection w:val="lrTb"/>
            <w:noWrap w:val="false"/>
          </w:tcPr>
          <w:p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Банк: </w:t>
            </w:r>
            <w:r>
              <w:rPr>
                <w:lang w:eastAsia="en-US"/>
              </w:rPr>
              <w:t xml:space="preserve">ОКЦ № 1 ГУ Банка России по ЦФО//УФК ПО МОСКОВСКОЙ ОБЛАСТИ г Москва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БИК 004525987</w:t>
            </w:r>
            <w:r>
              <w:rPr>
                <w:lang w:eastAsia="en-US"/>
              </w:rPr>
            </w:r>
          </w:p>
          <w:p>
            <w:pPr>
              <w:ind w:firstLine="34"/>
              <w:rPr>
                <w:rFonts w:cstheme="minorHAnsi"/>
                <w:shd w:val="clear" w:color="auto" w:fill="ffffff"/>
              </w:rPr>
            </w:pPr>
            <w:r>
              <w:rPr>
                <w:lang w:eastAsia="en-US"/>
              </w:rPr>
              <w:t xml:space="preserve">казн</w:t>
            </w:r>
            <w:r>
              <w:rPr>
                <w:lang w:eastAsia="en-US"/>
              </w:rPr>
              <w:t xml:space="preserve">/</w:t>
            </w:r>
            <w:r>
              <w:rPr>
                <w:lang w:eastAsia="en-US"/>
              </w:rPr>
              <w:t xml:space="preserve">сч</w:t>
            </w:r>
            <w:r>
              <w:rPr>
                <w:lang w:eastAsia="en-US"/>
              </w:rPr>
              <w:t xml:space="preserve"> 03224643460000004800</w:t>
            </w:r>
            <w:r>
              <w:rPr>
                <w:rFonts w:cstheme="minorHAnsi"/>
                <w:shd w:val="clear" w:color="auto" w:fill="ffffff"/>
              </w:rPr>
            </w:r>
          </w:p>
          <w:p>
            <w:pPr>
              <w:ind w:firstLine="34"/>
              <w:rPr>
                <w:lang w:eastAsia="en-US"/>
              </w:rPr>
            </w:pPr>
            <w:r>
              <w:rPr>
                <w:lang w:eastAsia="en-US"/>
              </w:rPr>
              <w:t xml:space="preserve">единый </w:t>
            </w:r>
            <w:r>
              <w:rPr>
                <w:lang w:eastAsia="en-US"/>
              </w:rPr>
              <w:t xml:space="preserve">казн</w:t>
            </w:r>
            <w:r>
              <w:rPr>
                <w:lang w:eastAsia="en-US"/>
              </w:rPr>
              <w:t xml:space="preserve">/</w:t>
            </w:r>
            <w:r>
              <w:rPr>
                <w:lang w:eastAsia="en-US"/>
              </w:rPr>
              <w:t xml:space="preserve">сч</w:t>
            </w:r>
            <w:r>
              <w:rPr>
                <w:lang w:eastAsia="en-US"/>
              </w:rPr>
              <w:t xml:space="preserve"> 40102810845370000004</w:t>
            </w:r>
            <w:r>
              <w:rPr>
                <w:lang w:eastAsia="en-US"/>
              </w:rPr>
            </w:r>
          </w:p>
          <w:p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ОКТМО</w:t>
            </w:r>
            <w:r>
              <w:rPr>
                <w:lang w:eastAsia="en-US"/>
              </w:rPr>
              <w:t xml:space="preserve"> 46744000</w:t>
            </w:r>
            <w:r>
              <w:rPr>
                <w:lang w:eastAsia="en-US"/>
              </w:rPr>
            </w:r>
          </w:p>
          <w:p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КБК 85100000000000000140</w:t>
            </w:r>
            <w:r>
              <w:rPr>
                <w:lang w:eastAsia="en-US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1416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730838231"/>
      <w:docPartObj>
        <w:docPartGallery w:val="Page Numbers (Top of Page)"/>
        <w:docPartUnique w:val="true"/>
      </w:docPartObj>
      <w:rPr/>
    </w:sdtPr>
    <w:sdtContent>
      <w:p>
        <w:pPr>
          <w:pStyle w:val="78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  <w:b w:val="0"/>
        <w:sz w:val="24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tab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1909" w:hanging="207"/>
      </w:pPr>
      <w:rPr>
        <w:rFonts w:hint="default"/>
        <w:b w:val="0"/>
        <w:sz w:val="24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tab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b w:val="0"/>
        <w:color w:val="383a42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48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87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12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tab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226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0" w:firstLine="709"/>
      </w:pPr>
      <w:rPr>
        <w:rFonts w:hint="default" w:ascii="Times New Roman" w:hAnsi="Times New Roman" w:cs="Times New Roman"/>
        <w:sz w:val="24"/>
        <w:szCs w:val="24"/>
      </w:rPr>
    </w:lvl>
    <w:lvl w:ilvl="3">
      <w:start w:val="1"/>
      <w:numFmt w:val="decimal"/>
      <w:isLgl w:val="false"/>
      <w:suff w:val="tab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0" w:firstLine="0"/>
      </w:pPr>
      <w:rPr>
        <w:rFonts w:hint="default"/>
      </w:rPr>
    </w:lvl>
  </w:abstractNum>
  <w:abstractNum w:abstractNumId="18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  <w:b w:val="0"/>
        <w:sz w:val="24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pStyle w:val="793"/>
      <w:isLgl w:val="false"/>
      <w:suff w:val="space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794"/>
      <w:isLgl w:val="false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796"/>
      <w:isLgl w:val="false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  <w:b w:val="0"/>
        <w:sz w:val="24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  <w:b w:val="0"/>
        <w:sz w:val="24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  <w:b w:val="0"/>
        <w:sz w:val="24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tab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8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  <w:b w:val="0"/>
        <w:sz w:val="24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  <w:b w:val="0"/>
        <w:sz w:val="24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0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1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  <w:b w:val="0"/>
        <w:sz w:val="24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2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  <w:b w:val="0"/>
        <w:sz w:val="24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4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5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  <w:b w:val="0"/>
        <w:sz w:val="24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7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tab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9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tab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40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41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4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0" w:firstLine="709"/>
      </w:pPr>
      <w:rPr>
        <w:rFonts w:hint="default" w:ascii="Times New Roman" w:hAnsi="Times New Roman" w:cs="Times New Roman"/>
        <w:sz w:val="24"/>
        <w:szCs w:val="24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43">
    <w:multiLevelType w:val="hybridMultilevel"/>
    <w:lvl w:ilvl="0">
      <w:start w:val="1"/>
      <w:numFmt w:val="upperRoman"/>
      <w:isLgl w:val="false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isLgl w:val="false"/>
      <w:suff w:val="space"/>
      <w:lvlText w:val="%2."/>
      <w:lvlJc w:val="left"/>
      <w:pPr>
        <w:ind w:left="567" w:hanging="207"/>
      </w:pPr>
      <w:rPr>
        <w:rFonts w:hint="default"/>
        <w:b w:val="0"/>
        <w:sz w:val="24"/>
      </w:rPr>
    </w:lvl>
    <w:lvl w:ilvl="2">
      <w:start w:val="1"/>
      <w:numFmt w:val="decimal"/>
      <w:isLgl w:val="false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5"/>
  </w:num>
  <w:num w:numId="2">
    <w:abstractNumId w:val="16"/>
  </w:num>
  <w:num w:numId="3">
    <w:abstractNumId w:val="38"/>
  </w:num>
  <w:num w:numId="4">
    <w:abstractNumId w:val="26"/>
  </w:num>
  <w:num w:numId="5">
    <w:abstractNumId w:val="7"/>
  </w:num>
  <w:num w:numId="6">
    <w:abstractNumId w:val="3"/>
  </w:num>
  <w:num w:numId="7">
    <w:abstractNumId w:val="9"/>
  </w:num>
  <w:num w:numId="8">
    <w:abstractNumId w:val="12"/>
  </w:num>
  <w:num w:numId="9">
    <w:abstractNumId w:val="37"/>
  </w:num>
  <w:num w:numId="10">
    <w:abstractNumId w:val="13"/>
  </w:num>
  <w:num w:numId="11">
    <w:abstractNumId w:val="40"/>
  </w:num>
  <w:num w:numId="12">
    <w:abstractNumId w:val="2"/>
  </w:num>
  <w:num w:numId="13">
    <w:abstractNumId w:val="35"/>
  </w:num>
  <w:num w:numId="14">
    <w:abstractNumId w:val="24"/>
  </w:num>
  <w:num w:numId="15">
    <w:abstractNumId w:val="0"/>
  </w:num>
  <w:num w:numId="16">
    <w:abstractNumId w:val="34"/>
  </w:num>
  <w:num w:numId="17">
    <w:abstractNumId w:val="6"/>
  </w:num>
  <w:num w:numId="18">
    <w:abstractNumId w:val="14"/>
  </w:num>
  <w:num w:numId="19">
    <w:abstractNumId w:val="30"/>
  </w:num>
  <w:num w:numId="20">
    <w:abstractNumId w:val="4"/>
  </w:num>
  <w:num w:numId="21">
    <w:abstractNumId w:val="41"/>
  </w:num>
  <w:num w:numId="22">
    <w:abstractNumId w:val="8"/>
  </w:num>
  <w:num w:numId="23">
    <w:abstractNumId w:val="19"/>
  </w:num>
  <w:num w:numId="24">
    <w:abstractNumId w:val="32"/>
  </w:num>
  <w:num w:numId="25">
    <w:abstractNumId w:val="18"/>
  </w:num>
  <w:num w:numId="26">
    <w:abstractNumId w:val="27"/>
  </w:num>
  <w:num w:numId="27">
    <w:abstractNumId w:val="15"/>
  </w:num>
  <w:num w:numId="28">
    <w:abstractNumId w:val="29"/>
  </w:num>
  <w:num w:numId="29">
    <w:abstractNumId w:val="31"/>
  </w:num>
  <w:num w:numId="30">
    <w:abstractNumId w:val="25"/>
  </w:num>
  <w:num w:numId="31">
    <w:abstractNumId w:val="39"/>
  </w:num>
  <w:num w:numId="32">
    <w:abstractNumId w:val="36"/>
  </w:num>
  <w:num w:numId="33">
    <w:abstractNumId w:val="1"/>
  </w:num>
  <w:num w:numId="34">
    <w:abstractNumId w:val="28"/>
  </w:num>
  <w:num w:numId="35">
    <w:abstractNumId w:val="20"/>
  </w:num>
  <w:num w:numId="36">
    <w:abstractNumId w:val="22"/>
  </w:num>
  <w:num w:numId="37">
    <w:abstractNumId w:val="43"/>
  </w:num>
  <w:num w:numId="38">
    <w:abstractNumId w:val="23"/>
  </w:num>
  <w:num w:numId="39">
    <w:abstractNumId w:val="33"/>
  </w:num>
  <w:num w:numId="40">
    <w:abstractNumId w:val="21"/>
  </w:num>
  <w:num w:numId="41">
    <w:abstractNumId w:val="42"/>
  </w:num>
  <w:num w:numId="42">
    <w:abstractNumId w:val="17"/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1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67"/>
    <w:link w:val="76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67"/>
    <w:link w:val="765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67"/>
    <w:link w:val="766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63"/>
    <w:next w:val="763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767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63"/>
    <w:next w:val="763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67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63"/>
    <w:next w:val="763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67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63"/>
    <w:next w:val="763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67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63"/>
    <w:next w:val="763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67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63"/>
    <w:next w:val="763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67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63"/>
    <w:next w:val="763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67"/>
    <w:link w:val="35"/>
    <w:uiPriority w:val="10"/>
    <w:rPr>
      <w:sz w:val="48"/>
      <w:szCs w:val="48"/>
    </w:rPr>
  </w:style>
  <w:style w:type="paragraph" w:styleId="37">
    <w:name w:val="Subtitle"/>
    <w:basedOn w:val="763"/>
    <w:next w:val="763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67"/>
    <w:link w:val="37"/>
    <w:uiPriority w:val="11"/>
    <w:rPr>
      <w:sz w:val="24"/>
      <w:szCs w:val="24"/>
    </w:rPr>
  </w:style>
  <w:style w:type="paragraph" w:styleId="39">
    <w:name w:val="Quote"/>
    <w:basedOn w:val="763"/>
    <w:next w:val="763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63"/>
    <w:next w:val="763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67"/>
    <w:link w:val="788"/>
    <w:uiPriority w:val="99"/>
  </w:style>
  <w:style w:type="character" w:styleId="46">
    <w:name w:val="Footer Char"/>
    <w:basedOn w:val="767"/>
    <w:link w:val="790"/>
    <w:uiPriority w:val="99"/>
  </w:style>
  <w:style w:type="paragraph" w:styleId="47">
    <w:name w:val="Caption"/>
    <w:basedOn w:val="763"/>
    <w:next w:val="763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67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785"/>
    <w:uiPriority w:val="99"/>
    <w:rPr>
      <w:sz w:val="18"/>
    </w:rPr>
  </w:style>
  <w:style w:type="paragraph" w:styleId="179">
    <w:name w:val="endnote text"/>
    <w:basedOn w:val="763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67"/>
    <w:uiPriority w:val="99"/>
    <w:semiHidden/>
    <w:unhideWhenUsed/>
    <w:rPr>
      <w:vertAlign w:val="superscript"/>
    </w:rPr>
  </w:style>
  <w:style w:type="paragraph" w:styleId="182">
    <w:name w:val="toc 1"/>
    <w:basedOn w:val="763"/>
    <w:next w:val="763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63"/>
    <w:next w:val="763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63"/>
    <w:next w:val="763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63"/>
    <w:next w:val="763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63"/>
    <w:next w:val="763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63"/>
    <w:next w:val="763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63"/>
    <w:next w:val="763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63"/>
    <w:next w:val="763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63"/>
    <w:next w:val="763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63"/>
    <w:next w:val="763"/>
    <w:uiPriority w:val="99"/>
    <w:unhideWhenUsed/>
    <w:pPr>
      <w:spacing w:after="0" w:afterAutospacing="0"/>
    </w:pPr>
  </w:style>
  <w:style w:type="paragraph" w:styleId="763" w:default="1">
    <w:name w:val="Normal"/>
    <w:qFormat/>
    <w:pPr>
      <w:ind w:firstLine="709"/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764">
    <w:name w:val="Heading 1"/>
    <w:basedOn w:val="763"/>
    <w:next w:val="763"/>
    <w:link w:val="795"/>
    <w:uiPriority w:val="9"/>
    <w:qFormat/>
    <w:pPr>
      <w:keepLines/>
      <w:keepNext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765">
    <w:name w:val="Heading 2"/>
    <w:basedOn w:val="763"/>
    <w:next w:val="763"/>
    <w:link w:val="797"/>
    <w:uiPriority w:val="9"/>
    <w:semiHidden/>
    <w:unhideWhenUsed/>
    <w:qFormat/>
    <w:pPr>
      <w:keepLines/>
      <w:keepNext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766">
    <w:name w:val="Heading 3"/>
    <w:basedOn w:val="763"/>
    <w:next w:val="763"/>
    <w:link w:val="798"/>
    <w:uiPriority w:val="9"/>
    <w:semiHidden/>
    <w:unhideWhenUsed/>
    <w:qFormat/>
    <w:pPr>
      <w:keepLines/>
      <w:keepNext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</w:rPr>
  </w:style>
  <w:style w:type="character" w:styleId="767" w:default="1">
    <w:name w:val="Default Paragraph Font"/>
    <w:uiPriority w:val="1"/>
    <w:semiHidden/>
    <w:unhideWhenUsed/>
  </w:style>
  <w:style w:type="table" w:styleId="7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9" w:default="1">
    <w:name w:val="No List"/>
    <w:uiPriority w:val="99"/>
    <w:semiHidden/>
    <w:unhideWhenUsed/>
  </w:style>
  <w:style w:type="character" w:styleId="770">
    <w:name w:val="Hyperlink"/>
    <w:rPr>
      <w:color w:val="000080"/>
      <w:u w:val="single"/>
    </w:rPr>
  </w:style>
  <w:style w:type="paragraph" w:styleId="771" w:customStyle="1">
    <w:name w:val="Заголовок таблицы1"/>
    <w:basedOn w:val="763"/>
    <w:link w:val="773"/>
    <w:qFormat/>
    <w:rPr>
      <w:b/>
    </w:rPr>
  </w:style>
  <w:style w:type="paragraph" w:styleId="772" w:customStyle="1">
    <w:name w:val="Тест таблицы"/>
    <w:basedOn w:val="763"/>
    <w:link w:val="774"/>
    <w:qFormat/>
  </w:style>
  <w:style w:type="character" w:styleId="773" w:customStyle="1">
    <w:name w:val="Заголовок таблицы1 Знак"/>
    <w:basedOn w:val="767"/>
    <w:link w:val="771"/>
    <w:rPr>
      <w:rFonts w:ascii="Times New Roman" w:hAnsi="Times New Roman" w:eastAsia="Times New Roman" w:cs="Times New Roman"/>
      <w:b/>
      <w:sz w:val="24"/>
      <w:szCs w:val="24"/>
      <w:lang w:eastAsia="ar-SA"/>
    </w:rPr>
  </w:style>
  <w:style w:type="character" w:styleId="774" w:customStyle="1">
    <w:name w:val="Тест таблицы Знак"/>
    <w:basedOn w:val="767"/>
    <w:link w:val="772"/>
    <w:rPr>
      <w:rFonts w:ascii="Times New Roman" w:hAnsi="Times New Roman" w:eastAsia="Times New Roman" w:cs="Times New Roman"/>
      <w:sz w:val="24"/>
      <w:szCs w:val="24"/>
      <w:lang w:eastAsia="ar-SA"/>
    </w:rPr>
  </w:style>
  <w:style w:type="table" w:styleId="775">
    <w:name w:val="Table Grid"/>
    <w:basedOn w:val="768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76">
    <w:name w:val="Revision"/>
    <w:hidden/>
    <w:uiPriority w:val="99"/>
    <w:semiHidden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777">
    <w:name w:val="Balloon Text"/>
    <w:basedOn w:val="763"/>
    <w:link w:val="778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778" w:customStyle="1">
    <w:name w:val="Текст выноски Знак"/>
    <w:basedOn w:val="767"/>
    <w:link w:val="777"/>
    <w:uiPriority w:val="99"/>
    <w:semiHidden/>
    <w:rPr>
      <w:rFonts w:ascii="Segoe UI" w:hAnsi="Segoe UI" w:eastAsia="Times New Roman" w:cs="Segoe UI"/>
      <w:sz w:val="18"/>
      <w:szCs w:val="18"/>
      <w:lang w:eastAsia="ar-SA"/>
    </w:rPr>
  </w:style>
  <w:style w:type="character" w:styleId="779">
    <w:name w:val="annotation reference"/>
    <w:basedOn w:val="767"/>
    <w:uiPriority w:val="99"/>
    <w:semiHidden/>
    <w:unhideWhenUsed/>
    <w:rPr>
      <w:sz w:val="16"/>
      <w:szCs w:val="16"/>
    </w:rPr>
  </w:style>
  <w:style w:type="paragraph" w:styleId="780">
    <w:name w:val="annotation text"/>
    <w:basedOn w:val="763"/>
    <w:link w:val="781"/>
    <w:uiPriority w:val="99"/>
    <w:unhideWhenUsed/>
    <w:rPr>
      <w:sz w:val="20"/>
      <w:szCs w:val="20"/>
    </w:rPr>
  </w:style>
  <w:style w:type="character" w:styleId="781" w:customStyle="1">
    <w:name w:val="Текст примечания Знак"/>
    <w:basedOn w:val="767"/>
    <w:link w:val="780"/>
    <w:uiPriority w:val="99"/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782">
    <w:name w:val="annotation subject"/>
    <w:basedOn w:val="780"/>
    <w:next w:val="780"/>
    <w:link w:val="783"/>
    <w:uiPriority w:val="99"/>
    <w:semiHidden/>
    <w:unhideWhenUsed/>
    <w:rPr>
      <w:b/>
      <w:bCs/>
    </w:rPr>
  </w:style>
  <w:style w:type="character" w:styleId="783" w:customStyle="1">
    <w:name w:val="Тема примечания Знак"/>
    <w:basedOn w:val="781"/>
    <w:link w:val="782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character" w:styleId="784">
    <w:name w:val="footnote reference"/>
    <w:rPr>
      <w:vertAlign w:val="superscript"/>
    </w:rPr>
  </w:style>
  <w:style w:type="paragraph" w:styleId="785">
    <w:name w:val="footnote text"/>
    <w:basedOn w:val="763"/>
    <w:link w:val="786"/>
    <w:uiPriority w:val="99"/>
    <w:qFormat/>
    <w:rPr>
      <w:sz w:val="20"/>
      <w:szCs w:val="20"/>
    </w:rPr>
  </w:style>
  <w:style w:type="character" w:styleId="786" w:customStyle="1">
    <w:name w:val="Текст сноски Знак"/>
    <w:basedOn w:val="767"/>
    <w:link w:val="785"/>
    <w:uiPriority w:val="99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787">
    <w:name w:val="FollowedHyperlink"/>
    <w:basedOn w:val="767"/>
    <w:uiPriority w:val="99"/>
    <w:semiHidden/>
    <w:unhideWhenUsed/>
    <w:rPr>
      <w:color w:val="954f72" w:themeColor="followedHyperlink"/>
      <w:u w:val="single"/>
    </w:rPr>
  </w:style>
  <w:style w:type="paragraph" w:styleId="788">
    <w:name w:val="Header"/>
    <w:basedOn w:val="763"/>
    <w:link w:val="78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89" w:customStyle="1">
    <w:name w:val="Верхний колонтитул Знак"/>
    <w:basedOn w:val="767"/>
    <w:link w:val="788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790">
    <w:name w:val="Footer"/>
    <w:basedOn w:val="763"/>
    <w:link w:val="79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91" w:customStyle="1">
    <w:name w:val="Нижний колонтитул Знак"/>
    <w:basedOn w:val="767"/>
    <w:link w:val="790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792">
    <w:name w:val="List Paragraph"/>
    <w:basedOn w:val="763"/>
    <w:uiPriority w:val="34"/>
    <w:qFormat/>
    <w:pPr>
      <w:contextualSpacing/>
      <w:ind w:left="720"/>
    </w:pPr>
  </w:style>
  <w:style w:type="paragraph" w:styleId="793" w:customStyle="1">
    <w:name w:val="Раздел контракта"/>
    <w:basedOn w:val="764"/>
    <w:qFormat/>
    <w:pPr>
      <w:numPr>
        <w:ilvl w:val="0"/>
        <w:numId w:val="40"/>
      </w:numPr>
      <w:jc w:val="center"/>
      <w:keepLines w:val="0"/>
      <w:keepNext w:val="0"/>
      <w:spacing w:before="120" w:after="120"/>
    </w:pPr>
    <w:rPr>
      <w:rFonts w:ascii="Times New Roman" w:hAnsi="Times New Roman"/>
      <w:color w:val="auto"/>
      <w:sz w:val="24"/>
      <w:lang w:eastAsia="en-US"/>
    </w:rPr>
  </w:style>
  <w:style w:type="paragraph" w:styleId="794" w:customStyle="1">
    <w:name w:val="Пункт контракта"/>
    <w:basedOn w:val="765"/>
    <w:qFormat/>
    <w:pPr>
      <w:numPr>
        <w:ilvl w:val="1"/>
        <w:numId w:val="40"/>
      </w:numPr>
      <w:ind w:firstLine="709"/>
      <w:keepLines w:val="0"/>
      <w:keepNext w:val="0"/>
      <w:spacing w:before="0"/>
    </w:pPr>
    <w:rPr>
      <w:rFonts w:ascii="Times New Roman" w:hAnsi="Times New Roman"/>
      <w:color w:val="auto"/>
      <w:sz w:val="24"/>
      <w:lang w:eastAsia="en-US"/>
    </w:rPr>
  </w:style>
  <w:style w:type="character" w:styleId="795" w:customStyle="1">
    <w:name w:val="Заголовок 1 Знак"/>
    <w:basedOn w:val="767"/>
    <w:link w:val="764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ar-SA"/>
    </w:rPr>
  </w:style>
  <w:style w:type="paragraph" w:styleId="796" w:customStyle="1">
    <w:name w:val="Подпункт контракта"/>
    <w:basedOn w:val="766"/>
    <w:qFormat/>
    <w:pPr>
      <w:numPr>
        <w:ilvl w:val="2"/>
        <w:numId w:val="40"/>
      </w:numPr>
      <w:ind w:firstLine="709"/>
      <w:keepLines w:val="0"/>
      <w:keepNext w:val="0"/>
      <w:spacing w:before="0"/>
    </w:pPr>
    <w:rPr>
      <w:rFonts w:ascii="Times New Roman" w:hAnsi="Times New Roman"/>
      <w:color w:val="auto"/>
    </w:rPr>
  </w:style>
  <w:style w:type="character" w:styleId="797" w:customStyle="1">
    <w:name w:val="Заголовок 2 Знак"/>
    <w:basedOn w:val="767"/>
    <w:link w:val="765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eastAsia="ar-SA"/>
    </w:rPr>
  </w:style>
  <w:style w:type="character" w:styleId="798" w:customStyle="1">
    <w:name w:val="Заголовок 3 Знак"/>
    <w:basedOn w:val="767"/>
    <w:link w:val="766"/>
    <w:uiPriority w:val="9"/>
    <w:semiHidden/>
    <w:rPr>
      <w:rFonts w:asciiTheme="majorHAnsi" w:hAnsiTheme="majorHAnsi" w:eastAsiaTheme="majorEastAsia" w:cstheme="majorBidi"/>
      <w:color w:val="1f3763" w:themeColor="accent1" w:themeShade="7F"/>
      <w:sz w:val="24"/>
      <w:szCs w:val="24"/>
      <w:lang w:eastAsia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2ECD2-CCDD-4FF6-AC01-14823FFFB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Котова Екатерина Александровна</cp:lastModifiedBy>
  <cp:revision>3</cp:revision>
  <dcterms:created xsi:type="dcterms:W3CDTF">2026-09-10T11:45:00Z</dcterms:created>
  <dcterms:modified xsi:type="dcterms:W3CDTF">2026-09-10T12:17:23Z</dcterms:modified>
</cp:coreProperties>
</file>